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A2E" w:rsidRPr="00E54A2E" w:rsidRDefault="00E54A2E" w:rsidP="00E54A2E">
      <w:pPr>
        <w:spacing w:after="8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bookmarkStart w:id="0" w:name="_GoBack"/>
      <w:bookmarkEnd w:id="0"/>
      <w:r w:rsidRPr="00E54A2E">
        <w:rPr>
          <w:rFonts w:ascii="Arial" w:eastAsia="Calibri" w:hAnsi="Arial" w:cs="Arial"/>
          <w:b/>
          <w:sz w:val="24"/>
          <w:szCs w:val="24"/>
        </w:rPr>
        <w:t>Obrazac 20.</w:t>
      </w:r>
    </w:p>
    <w:p w:rsidR="00E54A2E" w:rsidRPr="00E54A2E" w:rsidRDefault="00E54A2E" w:rsidP="00E54A2E">
      <w:pPr>
        <w:spacing w:after="8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E54A2E">
        <w:rPr>
          <w:rFonts w:ascii="Arial" w:eastAsia="Calibri" w:hAnsi="Arial" w:cs="Arial"/>
          <w:b/>
          <w:sz w:val="24"/>
          <w:szCs w:val="24"/>
        </w:rPr>
        <w:t>IZVJEŠĆE STEČAJNOGA UPRAVITELJA O TIJEKU STEČAJNOGA POSTUPKA I STANJU STEČAJNE MASE</w:t>
      </w:r>
    </w:p>
    <w:p w:rsidR="00E54A2E" w:rsidRPr="00E54A2E" w:rsidRDefault="00E54A2E" w:rsidP="00E54A2E">
      <w:pPr>
        <w:spacing w:after="8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E54A2E" w:rsidRPr="00E54A2E" w:rsidRDefault="00E54A2E" w:rsidP="00E54A2E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54A2E">
        <w:rPr>
          <w:rFonts w:ascii="Arial" w:eastAsia="Calibri" w:hAnsi="Arial" w:cs="Arial"/>
          <w:sz w:val="24"/>
          <w:szCs w:val="24"/>
          <w:lang w:val="pl-PL"/>
        </w:rPr>
        <w:t>Nadle</w:t>
      </w:r>
      <w:r w:rsidRPr="00E54A2E">
        <w:rPr>
          <w:rFonts w:ascii="Arial" w:eastAsia="Calibri" w:hAnsi="Arial" w:cs="Arial"/>
          <w:sz w:val="24"/>
          <w:szCs w:val="24"/>
        </w:rPr>
        <w:t>ž</w:t>
      </w:r>
      <w:r w:rsidRPr="00E54A2E">
        <w:rPr>
          <w:rFonts w:ascii="Arial" w:eastAsia="Calibri" w:hAnsi="Arial" w:cs="Arial"/>
          <w:sz w:val="24"/>
          <w:szCs w:val="24"/>
          <w:lang w:val="pl-PL"/>
        </w:rPr>
        <w:t>ni</w:t>
      </w:r>
      <w:r w:rsidRPr="00E54A2E">
        <w:rPr>
          <w:rFonts w:ascii="Arial" w:eastAsia="Calibri" w:hAnsi="Arial" w:cs="Arial"/>
          <w:sz w:val="24"/>
          <w:szCs w:val="24"/>
        </w:rPr>
        <w:t xml:space="preserve"> </w:t>
      </w:r>
      <w:r w:rsidRPr="00E54A2E">
        <w:rPr>
          <w:rFonts w:ascii="Arial" w:eastAsia="Calibri" w:hAnsi="Arial" w:cs="Arial"/>
          <w:sz w:val="24"/>
          <w:szCs w:val="24"/>
          <w:lang w:val="pl-PL"/>
        </w:rPr>
        <w:t>trgova</w:t>
      </w:r>
      <w:r w:rsidRPr="00E54A2E">
        <w:rPr>
          <w:rFonts w:ascii="Arial" w:eastAsia="Calibri" w:hAnsi="Arial" w:cs="Arial"/>
          <w:sz w:val="24"/>
          <w:szCs w:val="24"/>
        </w:rPr>
        <w:t>č</w:t>
      </w:r>
      <w:r w:rsidRPr="00E54A2E">
        <w:rPr>
          <w:rFonts w:ascii="Arial" w:eastAsia="Calibri" w:hAnsi="Arial" w:cs="Arial"/>
          <w:sz w:val="24"/>
          <w:szCs w:val="24"/>
          <w:lang w:val="pl-PL"/>
        </w:rPr>
        <w:t>ki</w:t>
      </w:r>
      <w:r w:rsidRPr="00E54A2E">
        <w:rPr>
          <w:rFonts w:ascii="Arial" w:eastAsia="Calibri" w:hAnsi="Arial" w:cs="Arial"/>
          <w:sz w:val="24"/>
          <w:szCs w:val="24"/>
        </w:rPr>
        <w:t xml:space="preserve"> </w:t>
      </w:r>
      <w:r w:rsidRPr="00E54A2E">
        <w:rPr>
          <w:rFonts w:ascii="Arial" w:eastAsia="Calibri" w:hAnsi="Arial" w:cs="Arial"/>
          <w:sz w:val="24"/>
          <w:szCs w:val="24"/>
          <w:lang w:val="pl-PL"/>
        </w:rPr>
        <w:t>sud</w:t>
      </w:r>
      <w:r w:rsidRPr="00E54A2E">
        <w:rPr>
          <w:rFonts w:ascii="Arial" w:eastAsia="Calibri" w:hAnsi="Arial" w:cs="Arial"/>
          <w:sz w:val="24"/>
          <w:szCs w:val="24"/>
        </w:rPr>
        <w:t xml:space="preserve"> </w:t>
      </w:r>
      <w:r w:rsidRPr="00E54A2E">
        <w:rPr>
          <w:rFonts w:ascii="Arial" w:eastAsia="Calibri" w:hAnsi="Arial" w:cs="Arial"/>
          <w:sz w:val="24"/>
          <w:szCs w:val="24"/>
          <w:u w:val="single"/>
        </w:rPr>
        <w:t>TRGOVAČKI SUD U ZAGREBU</w:t>
      </w:r>
      <w:r w:rsidRPr="00E54A2E">
        <w:rPr>
          <w:rFonts w:ascii="Arial" w:eastAsia="Calibri" w:hAnsi="Arial" w:cs="Arial"/>
          <w:sz w:val="24"/>
          <w:szCs w:val="24"/>
        </w:rPr>
        <w:t>________________</w:t>
      </w:r>
    </w:p>
    <w:p w:rsidR="00E54A2E" w:rsidRPr="00E54A2E" w:rsidRDefault="00E54A2E" w:rsidP="00E54A2E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E54A2E">
        <w:rPr>
          <w:rFonts w:ascii="Arial" w:eastAsia="Calibri" w:hAnsi="Arial" w:cs="Arial"/>
          <w:sz w:val="24"/>
          <w:szCs w:val="24"/>
          <w:lang w:val="pl-PL"/>
        </w:rPr>
        <w:t xml:space="preserve">Poslovni broj spisa        </w:t>
      </w:r>
      <w:r w:rsidRPr="00E54A2E">
        <w:rPr>
          <w:rFonts w:ascii="Arial" w:eastAsia="Calibri" w:hAnsi="Arial" w:cs="Arial"/>
          <w:sz w:val="24"/>
          <w:szCs w:val="24"/>
          <w:u w:val="single"/>
          <w:lang w:val="pl-PL"/>
        </w:rPr>
        <w:t>St-847/2012_____________________________</w:t>
      </w:r>
      <w:r w:rsidRPr="00E54A2E">
        <w:rPr>
          <w:rFonts w:ascii="Arial" w:eastAsia="Calibri" w:hAnsi="Arial" w:cs="Arial"/>
          <w:sz w:val="24"/>
          <w:szCs w:val="24"/>
          <w:lang w:val="pl-PL"/>
        </w:rPr>
        <w:t>______</w:t>
      </w:r>
    </w:p>
    <w:p w:rsidR="00E54A2E" w:rsidRPr="00E54A2E" w:rsidRDefault="00E54A2E" w:rsidP="00E54A2E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E54A2E">
        <w:rPr>
          <w:rFonts w:ascii="Arial" w:eastAsia="Calibri" w:hAnsi="Arial" w:cs="Arial"/>
          <w:sz w:val="24"/>
          <w:szCs w:val="24"/>
          <w:lang w:val="pl-PL"/>
        </w:rPr>
        <w:t>Dužnik (ime i prezime / tvrtka ili naziv, OIB, adresa / sjedište) __</w:t>
      </w:r>
      <w:r w:rsidRPr="00E54A2E">
        <w:rPr>
          <w:rFonts w:ascii="Arial" w:eastAsia="Calibri" w:hAnsi="Arial" w:cs="Arial"/>
          <w:sz w:val="24"/>
          <w:szCs w:val="24"/>
          <w:u w:val="single"/>
          <w:lang w:val="pl-PL"/>
        </w:rPr>
        <w:t>GAMONT d.o.o. u stečaju, Primorska 8, Zagreb, OIB:08983285387</w:t>
      </w:r>
      <w:r w:rsidRPr="00E54A2E">
        <w:rPr>
          <w:rFonts w:ascii="Arial" w:eastAsia="Calibri" w:hAnsi="Arial" w:cs="Arial"/>
          <w:sz w:val="24"/>
          <w:szCs w:val="24"/>
          <w:lang w:val="pl-PL"/>
        </w:rPr>
        <w:t>________</w:t>
      </w:r>
    </w:p>
    <w:p w:rsidR="00E54A2E" w:rsidRPr="00E54A2E" w:rsidRDefault="00E54A2E" w:rsidP="00E54A2E">
      <w:pPr>
        <w:spacing w:after="80" w:line="240" w:lineRule="auto"/>
        <w:jc w:val="center"/>
        <w:rPr>
          <w:rFonts w:ascii="Arial" w:eastAsia="Calibri" w:hAnsi="Arial" w:cs="Arial"/>
          <w:sz w:val="24"/>
          <w:szCs w:val="24"/>
          <w:lang w:val="pl-PL"/>
        </w:rPr>
      </w:pPr>
    </w:p>
    <w:p w:rsidR="00E54A2E" w:rsidRPr="00E54A2E" w:rsidRDefault="00E54A2E" w:rsidP="00E54A2E">
      <w:pPr>
        <w:numPr>
          <w:ilvl w:val="0"/>
          <w:numId w:val="4"/>
        </w:numPr>
        <w:spacing w:after="80" w:line="240" w:lineRule="auto"/>
        <w:contextualSpacing/>
        <w:rPr>
          <w:rFonts w:ascii="Arial" w:eastAsia="Calibri" w:hAnsi="Arial" w:cs="Arial"/>
          <w:sz w:val="24"/>
          <w:szCs w:val="24"/>
          <w:u w:val="single"/>
          <w:lang w:val="pl-PL"/>
        </w:rPr>
      </w:pPr>
      <w:r w:rsidRPr="00E54A2E">
        <w:rPr>
          <w:rFonts w:ascii="Arial" w:eastAsia="Calibri" w:hAnsi="Arial" w:cs="Arial"/>
          <w:sz w:val="24"/>
          <w:szCs w:val="24"/>
          <w:lang w:val="pl-PL"/>
        </w:rPr>
        <w:t>TIJEK STEČAJNOGA POSTUPKA U RAZDOBLJU OD_</w:t>
      </w:r>
      <w:r w:rsidRPr="00E54A2E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29. </w:t>
      </w:r>
      <w:r w:rsidR="000013CF">
        <w:rPr>
          <w:rFonts w:ascii="Arial" w:eastAsia="Calibri" w:hAnsi="Arial" w:cs="Arial"/>
          <w:sz w:val="24"/>
          <w:szCs w:val="24"/>
          <w:u w:val="single"/>
          <w:lang w:val="pl-PL"/>
        </w:rPr>
        <w:t>listopada 2016.god.</w:t>
      </w:r>
      <w:r w:rsidRPr="00E54A2E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</w:t>
      </w:r>
      <w:r w:rsidRPr="00E54A2E">
        <w:rPr>
          <w:rFonts w:ascii="Arial" w:eastAsia="Calibri" w:hAnsi="Arial" w:cs="Arial"/>
          <w:sz w:val="24"/>
          <w:szCs w:val="24"/>
          <w:lang w:val="pl-PL"/>
        </w:rPr>
        <w:t xml:space="preserve">  DO 29</w:t>
      </w:r>
      <w:r w:rsidRPr="00E54A2E">
        <w:rPr>
          <w:rFonts w:ascii="Arial" w:eastAsia="Calibri" w:hAnsi="Arial" w:cs="Arial"/>
          <w:sz w:val="24"/>
          <w:szCs w:val="24"/>
          <w:u w:val="single"/>
          <w:lang w:val="pl-PL"/>
        </w:rPr>
        <w:t>. s</w:t>
      </w:r>
      <w:r w:rsidR="000013CF">
        <w:rPr>
          <w:rFonts w:ascii="Arial" w:eastAsia="Calibri" w:hAnsi="Arial" w:cs="Arial"/>
          <w:sz w:val="24"/>
          <w:szCs w:val="24"/>
          <w:u w:val="single"/>
          <w:lang w:val="pl-PL"/>
        </w:rPr>
        <w:t>iječnja 2017</w:t>
      </w:r>
      <w:r w:rsidRPr="00E54A2E">
        <w:rPr>
          <w:rFonts w:ascii="Arial" w:eastAsia="Calibri" w:hAnsi="Arial" w:cs="Arial"/>
          <w:sz w:val="24"/>
          <w:szCs w:val="24"/>
          <w:u w:val="single"/>
          <w:lang w:val="pl-PL"/>
        </w:rPr>
        <w:t>.godine</w:t>
      </w:r>
      <w:r w:rsidRPr="00E54A2E">
        <w:rPr>
          <w:rFonts w:ascii="Arial" w:eastAsia="Calibri" w:hAnsi="Arial" w:cs="Arial"/>
          <w:sz w:val="24"/>
          <w:szCs w:val="24"/>
          <w:lang w:val="pl-PL"/>
        </w:rPr>
        <w:t>___________</w:t>
      </w:r>
    </w:p>
    <w:p w:rsidR="00E54A2E" w:rsidRPr="00E54A2E" w:rsidRDefault="00E54A2E" w:rsidP="00E54A2E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E54A2E">
        <w:rPr>
          <w:rFonts w:ascii="Arial" w:eastAsia="Calibri" w:hAnsi="Arial" w:cs="Arial"/>
          <w:sz w:val="24"/>
          <w:szCs w:val="24"/>
          <w:lang w:val="pl-PL"/>
        </w:rPr>
        <w:t>U proteklom razdoblju obavljene su sljedeće radnje:</w:t>
      </w:r>
    </w:p>
    <w:p w:rsidR="00E54A2E" w:rsidRPr="00E54A2E" w:rsidRDefault="00E54A2E" w:rsidP="00E54A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E54A2E" w:rsidRPr="00E54A2E" w:rsidRDefault="00E54A2E" w:rsidP="00E54A2E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 xml:space="preserve">Po izvršenoj procjeni nekretnine - gradilište Jankomir, sukladno čl.158 SZ i Odluci skupštine vjerovnika od 29.travnja 2013.godine, </w:t>
      </w:r>
      <w:r w:rsidR="000013CF">
        <w:rPr>
          <w:rFonts w:ascii="Arial" w:eastAsia="Times New Roman" w:hAnsi="Arial" w:cs="Arial"/>
          <w:sz w:val="24"/>
          <w:szCs w:val="24"/>
          <w:lang w:eastAsia="hr-HR"/>
        </w:rPr>
        <w:t xml:space="preserve">tri puta </w:t>
      </w:r>
      <w:r w:rsidRPr="00E54A2E">
        <w:rPr>
          <w:rFonts w:ascii="Arial" w:eastAsia="Times New Roman" w:hAnsi="Arial" w:cs="Arial"/>
          <w:sz w:val="24"/>
          <w:szCs w:val="24"/>
          <w:lang w:eastAsia="hr-HR"/>
        </w:rPr>
        <w:t xml:space="preserve">oglasio prodaju nekretnine </w:t>
      </w:r>
    </w:p>
    <w:p w:rsidR="00E54A2E" w:rsidRDefault="000013CF" w:rsidP="00E54A2E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P</w:t>
      </w:r>
      <w:r w:rsidR="00E54A2E" w:rsidRPr="00E54A2E">
        <w:rPr>
          <w:rFonts w:ascii="Arial" w:eastAsia="Times New Roman" w:hAnsi="Arial" w:cs="Arial"/>
          <w:sz w:val="24"/>
          <w:szCs w:val="24"/>
          <w:lang w:eastAsia="hr-HR"/>
        </w:rPr>
        <w:t>okretn</w:t>
      </w:r>
      <w:r>
        <w:rPr>
          <w:rFonts w:ascii="Arial" w:eastAsia="Times New Roman" w:hAnsi="Arial" w:cs="Arial"/>
          <w:sz w:val="24"/>
          <w:szCs w:val="24"/>
          <w:lang w:eastAsia="hr-HR"/>
        </w:rPr>
        <w:t>u</w:t>
      </w:r>
      <w:r w:rsidR="00E54A2E" w:rsidRPr="00E54A2E">
        <w:rPr>
          <w:rFonts w:ascii="Arial" w:eastAsia="Times New Roman" w:hAnsi="Arial" w:cs="Arial"/>
          <w:sz w:val="24"/>
          <w:szCs w:val="24"/>
          <w:lang w:eastAsia="hr-HR"/>
        </w:rPr>
        <w:t xml:space="preserve"> imovin</w:t>
      </w:r>
      <w:r>
        <w:rPr>
          <w:rFonts w:ascii="Arial" w:eastAsia="Times New Roman" w:hAnsi="Arial" w:cs="Arial"/>
          <w:sz w:val="24"/>
          <w:szCs w:val="24"/>
          <w:lang w:eastAsia="hr-HR"/>
        </w:rPr>
        <w:t>u</w:t>
      </w:r>
      <w:r w:rsidR="00E54A2E" w:rsidRPr="00E54A2E">
        <w:rPr>
          <w:rFonts w:ascii="Arial" w:eastAsia="Times New Roman" w:hAnsi="Arial" w:cs="Arial"/>
          <w:sz w:val="24"/>
          <w:szCs w:val="24"/>
          <w:lang w:eastAsia="hr-HR"/>
        </w:rPr>
        <w:t xml:space="preserve"> - nasipni materijal u količini 11.302 m³, </w:t>
      </w:r>
      <w:r>
        <w:rPr>
          <w:rFonts w:ascii="Arial" w:eastAsia="Times New Roman" w:hAnsi="Arial" w:cs="Arial"/>
          <w:sz w:val="24"/>
          <w:szCs w:val="24"/>
          <w:lang w:eastAsia="hr-HR"/>
        </w:rPr>
        <w:t>oglasio do sada šest puta</w:t>
      </w:r>
    </w:p>
    <w:p w:rsidR="000013CF" w:rsidRPr="00E54A2E" w:rsidRDefault="000013CF" w:rsidP="00E54A2E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Dostavio Sudu prijelog za održavanje Skupštine vjerovnika a u vezi donošenja odluke o načinu daljnje prodaje nekretnine i pokretne imovine</w:t>
      </w:r>
    </w:p>
    <w:p w:rsidR="00E54A2E" w:rsidRPr="00E54A2E" w:rsidRDefault="00E54A2E" w:rsidP="00E54A2E">
      <w:pPr>
        <w:spacing w:after="0" w:line="240" w:lineRule="auto"/>
        <w:ind w:left="4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E54A2E" w:rsidRPr="00E54A2E" w:rsidRDefault="00E54A2E" w:rsidP="00E54A2E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E54A2E">
        <w:rPr>
          <w:rFonts w:ascii="Arial" w:eastAsia="Calibri" w:hAnsi="Arial" w:cs="Arial"/>
          <w:sz w:val="24"/>
          <w:szCs w:val="24"/>
          <w:lang w:val="pl-PL"/>
        </w:rPr>
        <w:t>II. STANJE STEČAJNE MASE</w:t>
      </w:r>
    </w:p>
    <w:p w:rsidR="00E54A2E" w:rsidRPr="00E54A2E" w:rsidRDefault="0026404D" w:rsidP="00E54A2E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  <w:lang w:val="pl-PL"/>
        </w:rPr>
      </w:pPr>
      <w:r>
        <w:rPr>
          <w:rFonts w:ascii="Arial" w:eastAsia="Calibri" w:hAnsi="Arial" w:cs="Arial"/>
          <w:sz w:val="24"/>
          <w:szCs w:val="24"/>
          <w:lang w:val="pl-PL"/>
        </w:rPr>
        <w:t xml:space="preserve">Preostalu </w:t>
      </w:r>
      <w:r w:rsidR="00E54A2E" w:rsidRPr="00E54A2E">
        <w:rPr>
          <w:rFonts w:ascii="Arial" w:eastAsia="Calibri" w:hAnsi="Arial" w:cs="Arial"/>
          <w:sz w:val="24"/>
          <w:szCs w:val="24"/>
          <w:lang w:val="pl-PL"/>
        </w:rPr>
        <w:t>stečajnu masu čine:</w:t>
      </w:r>
    </w:p>
    <w:p w:rsidR="00E54A2E" w:rsidRPr="00E54A2E" w:rsidRDefault="00E54A2E" w:rsidP="00E54A2E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E54A2E">
        <w:rPr>
          <w:rFonts w:ascii="Arial" w:eastAsia="Calibri" w:hAnsi="Arial" w:cs="Arial"/>
          <w:sz w:val="24"/>
          <w:szCs w:val="24"/>
          <w:lang w:val="pl-PL"/>
        </w:rPr>
        <w:t>II.1. Nekretnine:</w:t>
      </w:r>
    </w:p>
    <w:p w:rsidR="00E54A2E" w:rsidRPr="00E54A2E" w:rsidRDefault="00E54A2E" w:rsidP="00E54A2E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>II.1. a) DVOSOBNI STAN U ZAGREBU, PRIMORSKA 8, U PRIZEMLJU DESNO</w:t>
      </w:r>
      <w:r w:rsidRPr="00E54A2E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</w:p>
    <w:p w:rsidR="00E54A2E" w:rsidRPr="00E54A2E" w:rsidRDefault="00E54A2E" w:rsidP="00E54A2E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E54A2E" w:rsidRPr="00E54A2E" w:rsidRDefault="00E54A2E" w:rsidP="00E54A2E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>upisana u z.k.ul. br. 4053 k.o. Grad Zagreb, k.č.br. 5167/1 – ulična zgrada popisni br. 1963 u Primorskoj ulici 8, te dvije stambene zgrade u</w:t>
      </w:r>
      <w:r w:rsidRPr="00E54A2E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E54A2E">
        <w:rPr>
          <w:rFonts w:ascii="Arial" w:eastAsia="Times New Roman" w:hAnsi="Arial" w:cs="Arial"/>
          <w:sz w:val="24"/>
          <w:szCs w:val="24"/>
          <w:lang w:eastAsia="hr-HR"/>
        </w:rPr>
        <w:t>Primorskoj ulici</w:t>
      </w:r>
      <w:r w:rsidRPr="00E54A2E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E54A2E">
        <w:rPr>
          <w:rFonts w:ascii="Arial" w:eastAsia="Times New Roman" w:hAnsi="Arial" w:cs="Arial"/>
          <w:sz w:val="24"/>
          <w:szCs w:val="24"/>
          <w:lang w:eastAsia="hr-HR"/>
        </w:rPr>
        <w:t>br. 8/1 i 8/3, te šupa i dvorište površine 669 m²,</w:t>
      </w:r>
      <w:r w:rsidRPr="00E54A2E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 </w:t>
      </w:r>
      <w:r w:rsidRPr="00E54A2E">
        <w:rPr>
          <w:rFonts w:ascii="Arial" w:eastAsia="Times New Roman" w:hAnsi="Arial" w:cs="Arial"/>
          <w:sz w:val="24"/>
          <w:szCs w:val="24"/>
          <w:lang w:eastAsia="hr-HR"/>
        </w:rPr>
        <w:t>k.č.br. 5167/2 – dvorišna zgrada u Primorskoj ulici 8/2, dvije šupe i dvorište</w:t>
      </w:r>
      <w:r w:rsidRPr="00E54A2E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E54A2E">
        <w:rPr>
          <w:rFonts w:ascii="Arial" w:eastAsia="Times New Roman" w:hAnsi="Arial" w:cs="Arial"/>
          <w:sz w:val="24"/>
          <w:szCs w:val="24"/>
          <w:lang w:eastAsia="hr-HR"/>
        </w:rPr>
        <w:t>površine 458 m², k.č.br. 5167/3 – cesta površine 99 m², broj poduloška 6. etaža 0/0 – dvosobni stan s nusprostorijama u prizemlju desno.</w:t>
      </w:r>
    </w:p>
    <w:p w:rsidR="00E54A2E" w:rsidRPr="00E54A2E" w:rsidRDefault="00E54A2E" w:rsidP="00E54A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E54A2E" w:rsidRPr="00E54A2E" w:rsidRDefault="00E54A2E" w:rsidP="00E54A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>U odnosu na gore opisanu nekretninu još je upisana zemljišnoknjižna zabilježba:</w:t>
      </w:r>
    </w:p>
    <w:p w:rsidR="00E54A2E" w:rsidRPr="00E54A2E" w:rsidRDefault="00E54A2E" w:rsidP="00E54A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E54A2E" w:rsidRPr="00D50FB6" w:rsidRDefault="00E54A2E" w:rsidP="00E54A2E">
      <w:pPr>
        <w:numPr>
          <w:ilvl w:val="0"/>
          <w:numId w:val="3"/>
        </w:numPr>
        <w:spacing w:after="8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 xml:space="preserve">Z-22720/12 od 26. travnja 2012. godine </w:t>
      </w:r>
      <w:r w:rsidRPr="00E54A2E">
        <w:rPr>
          <w:rFonts w:ascii="Arial" w:eastAsia="Calibri" w:hAnsi="Arial" w:cs="Arial"/>
          <w:sz w:val="24"/>
          <w:szCs w:val="24"/>
        </w:rPr>
        <w:t>upisana je zabilježba ovrhe po prijedlogu ovrhovoditelja Boris Denca. Nakon obustave ovrhe Ovr-1242/12 (novi broj: Ovr-2373/13), Općinski građanski sud u Zagrebu naložio je brisanje zabilježbe, međutim ovrhovoditelj je uložio žalbu, pa do odluke po istoj nije moguće provesti upis brisanja. Spis po žalbi proslijeđen je na postupanje Županijskom sudu u Šibeniku.</w:t>
      </w:r>
    </w:p>
    <w:p w:rsidR="00D50FB6" w:rsidRDefault="00D50FB6" w:rsidP="00D50FB6">
      <w:pPr>
        <w:spacing w:after="8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Stečajni upravitelj kontaktirao je punomoćnicu ovrhovoditelja, te je dogovoreno da će ovrhovoditelj odustati od žalbe, pa je ovrhovoditelj 16.siječnja 2017.god. dostavio podnesak </w:t>
      </w:r>
      <w:r w:rsidRPr="00E54A2E">
        <w:rPr>
          <w:rFonts w:ascii="Arial" w:eastAsia="Calibri" w:hAnsi="Arial" w:cs="Arial"/>
          <w:sz w:val="24"/>
          <w:szCs w:val="24"/>
        </w:rPr>
        <w:t>Općinsk</w:t>
      </w:r>
      <w:r>
        <w:rPr>
          <w:rFonts w:ascii="Arial" w:eastAsia="Calibri" w:hAnsi="Arial" w:cs="Arial"/>
          <w:sz w:val="24"/>
          <w:szCs w:val="24"/>
        </w:rPr>
        <w:t>om</w:t>
      </w:r>
      <w:r w:rsidRPr="00E54A2E">
        <w:rPr>
          <w:rFonts w:ascii="Arial" w:eastAsia="Calibri" w:hAnsi="Arial" w:cs="Arial"/>
          <w:sz w:val="24"/>
          <w:szCs w:val="24"/>
        </w:rPr>
        <w:t xml:space="preserve"> građansk</w:t>
      </w:r>
      <w:r>
        <w:rPr>
          <w:rFonts w:ascii="Arial" w:eastAsia="Calibri" w:hAnsi="Arial" w:cs="Arial"/>
          <w:sz w:val="24"/>
          <w:szCs w:val="24"/>
        </w:rPr>
        <w:t>om</w:t>
      </w:r>
      <w:r w:rsidRPr="00E54A2E">
        <w:rPr>
          <w:rFonts w:ascii="Arial" w:eastAsia="Calibri" w:hAnsi="Arial" w:cs="Arial"/>
          <w:sz w:val="24"/>
          <w:szCs w:val="24"/>
        </w:rPr>
        <w:t xml:space="preserve"> sud</w:t>
      </w:r>
      <w:r>
        <w:rPr>
          <w:rFonts w:ascii="Arial" w:eastAsia="Calibri" w:hAnsi="Arial" w:cs="Arial"/>
          <w:sz w:val="24"/>
          <w:szCs w:val="24"/>
        </w:rPr>
        <w:t>u</w:t>
      </w:r>
      <w:r w:rsidRPr="00E54A2E">
        <w:rPr>
          <w:rFonts w:ascii="Arial" w:eastAsia="Calibri" w:hAnsi="Arial" w:cs="Arial"/>
          <w:sz w:val="24"/>
          <w:szCs w:val="24"/>
        </w:rPr>
        <w:t xml:space="preserve"> u Zagrebu</w:t>
      </w:r>
      <w:r>
        <w:rPr>
          <w:rFonts w:ascii="Arial" w:eastAsia="Calibri" w:hAnsi="Arial" w:cs="Arial"/>
          <w:sz w:val="24"/>
          <w:szCs w:val="24"/>
        </w:rPr>
        <w:t xml:space="preserve"> da odustaje od žalbe.</w:t>
      </w:r>
    </w:p>
    <w:p w:rsidR="00D50FB6" w:rsidRDefault="00D50FB6" w:rsidP="00E54A2E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E54A2E" w:rsidRPr="00E54A2E" w:rsidRDefault="00E54A2E" w:rsidP="00E54A2E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>Gore opisana nekretnina je po stalnom sudskom vještaku za graditeljstvo Slobodanu</w:t>
      </w:r>
    </w:p>
    <w:p w:rsidR="00E54A2E" w:rsidRPr="00E54A2E" w:rsidRDefault="00E54A2E" w:rsidP="00E54A2E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>Tonkoviću, dipl. ing. građ. iz AG Vještačenja d.o.o., Zagreb, Vinec, procijenjena na</w:t>
      </w:r>
    </w:p>
    <w:p w:rsidR="00E54A2E" w:rsidRPr="00E54A2E" w:rsidRDefault="00E54A2E" w:rsidP="00E54A2E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lastRenderedPageBreak/>
        <w:t>iznos 964.000,00 kn (126.000,00 €).</w:t>
      </w:r>
    </w:p>
    <w:p w:rsidR="00E54A2E" w:rsidRPr="00E54A2E" w:rsidRDefault="00E54A2E" w:rsidP="00E54A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E54A2E" w:rsidRPr="00E54A2E" w:rsidRDefault="00E54A2E" w:rsidP="00E54A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>II.1. b) GRADILIŠTE U JANKOMIRU</w:t>
      </w:r>
    </w:p>
    <w:p w:rsidR="00E54A2E" w:rsidRPr="00E54A2E" w:rsidRDefault="00E54A2E" w:rsidP="00E54A2E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>upisana u z.k.ul. br. 839 k.o. Jankomir, k.č.br. 5/180 – gradilište u Jankomiru</w:t>
      </w:r>
      <w:r w:rsidRPr="00E54A2E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E54A2E">
        <w:rPr>
          <w:rFonts w:ascii="Arial" w:eastAsia="Times New Roman" w:hAnsi="Arial" w:cs="Arial"/>
          <w:sz w:val="24"/>
          <w:szCs w:val="24"/>
          <w:lang w:eastAsia="hr-HR"/>
        </w:rPr>
        <w:t>površine 83 hvati, k.č.br. 5/183 – gradilište u Jankomiru</w:t>
      </w:r>
      <w:r w:rsidRPr="00E54A2E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E54A2E">
        <w:rPr>
          <w:rFonts w:ascii="Arial" w:eastAsia="Times New Roman" w:hAnsi="Arial" w:cs="Arial"/>
          <w:sz w:val="24"/>
          <w:szCs w:val="24"/>
          <w:lang w:eastAsia="hr-HR"/>
        </w:rPr>
        <w:t>površine 83 hvati.</w:t>
      </w:r>
    </w:p>
    <w:p w:rsidR="00E54A2E" w:rsidRPr="00E54A2E" w:rsidRDefault="00E54A2E" w:rsidP="00E54A2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E54A2E" w:rsidRPr="00E54A2E" w:rsidRDefault="00E54A2E" w:rsidP="00E54A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>Nekretnina je procijenjena na ukupni iznos 646.702,00 kn (86.112.-EUR).</w:t>
      </w:r>
    </w:p>
    <w:p w:rsidR="00E54A2E" w:rsidRPr="00E54A2E" w:rsidRDefault="00E54A2E" w:rsidP="00E54A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 xml:space="preserve">Sukladno čl.158. SZ i prema odluci Skupštine vjerovnika od 29. travnja 2013.godine, oglas o prodaji </w:t>
      </w:r>
      <w:r w:rsidR="00D50FB6">
        <w:rPr>
          <w:rFonts w:ascii="Arial" w:eastAsia="Times New Roman" w:hAnsi="Arial" w:cs="Arial"/>
          <w:sz w:val="24"/>
          <w:szCs w:val="24"/>
          <w:lang w:eastAsia="hr-HR"/>
        </w:rPr>
        <w:t xml:space="preserve">do sada je tri puta </w:t>
      </w:r>
      <w:r w:rsidRPr="00E54A2E">
        <w:rPr>
          <w:rFonts w:ascii="Arial" w:eastAsia="Times New Roman" w:hAnsi="Arial" w:cs="Arial"/>
          <w:sz w:val="24"/>
          <w:szCs w:val="24"/>
          <w:lang w:eastAsia="hr-HR"/>
        </w:rPr>
        <w:t>objavljen u tiskovini „Večernji list“ i na web stranicama sudačke mreže i HGK, prikupljanjem pisanih ponuda i javno otvaranje kod javnog bilježnika</w:t>
      </w:r>
      <w:r w:rsidR="001114CA">
        <w:rPr>
          <w:rFonts w:ascii="Arial" w:eastAsia="Times New Roman" w:hAnsi="Arial" w:cs="Arial"/>
          <w:sz w:val="24"/>
          <w:szCs w:val="24"/>
          <w:lang w:eastAsia="hr-HR"/>
        </w:rPr>
        <w:t xml:space="preserve">, međutim do sada </w:t>
      </w:r>
      <w:r w:rsidRPr="00E54A2E">
        <w:rPr>
          <w:rFonts w:ascii="Arial" w:eastAsia="Times New Roman" w:hAnsi="Arial" w:cs="Arial"/>
          <w:sz w:val="24"/>
          <w:szCs w:val="24"/>
          <w:lang w:eastAsia="hr-HR"/>
        </w:rPr>
        <w:t>nije pristigla niti jedna ponuda.</w:t>
      </w:r>
    </w:p>
    <w:p w:rsidR="001114CA" w:rsidRPr="001114CA" w:rsidRDefault="001114CA" w:rsidP="001114CA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  <w:r>
        <w:rPr>
          <w:rFonts w:ascii="Arial" w:eastAsia="Times New Roman" w:hAnsi="Arial" w:cs="Times New Roman"/>
          <w:sz w:val="24"/>
          <w:szCs w:val="28"/>
          <w:lang w:eastAsia="hr-HR"/>
        </w:rPr>
        <w:t>Sukladno čl.158 SZ, stečajni upravitelj dostavio je Sudu p</w:t>
      </w:r>
      <w:r w:rsidRPr="001114CA">
        <w:rPr>
          <w:rFonts w:ascii="Arial" w:eastAsia="Times New Roman" w:hAnsi="Arial" w:cs="Times New Roman"/>
          <w:sz w:val="24"/>
          <w:szCs w:val="28"/>
          <w:lang w:eastAsia="hr-HR"/>
        </w:rPr>
        <w:t>rijedlog za sazivanje Skupštine vjerovnika</w:t>
      </w:r>
      <w:r>
        <w:rPr>
          <w:rFonts w:ascii="Arial" w:eastAsia="Times New Roman" w:hAnsi="Arial" w:cs="Times New Roman"/>
          <w:sz w:val="24"/>
          <w:szCs w:val="28"/>
          <w:lang w:eastAsia="hr-HR"/>
        </w:rPr>
        <w:t>, na kojoj bi se odlučilo o daljnjem načinu unovčenja nekretnine, te je Skupština vjerovnika zakazana za 7.veljače 2017.godine.</w:t>
      </w:r>
      <w:r w:rsidRPr="001114CA">
        <w:rPr>
          <w:rFonts w:ascii="Arial" w:eastAsia="Times New Roman" w:hAnsi="Arial" w:cs="Times New Roman"/>
          <w:sz w:val="24"/>
          <w:szCs w:val="28"/>
          <w:lang w:eastAsia="hr-HR"/>
        </w:rPr>
        <w:t xml:space="preserve"> </w:t>
      </w:r>
    </w:p>
    <w:p w:rsidR="001114CA" w:rsidRPr="001114CA" w:rsidRDefault="001114CA" w:rsidP="001114CA">
      <w:pPr>
        <w:spacing w:after="0" w:line="240" w:lineRule="auto"/>
        <w:rPr>
          <w:rFonts w:ascii="Arial" w:eastAsia="Times New Roman" w:hAnsi="Arial" w:cs="Times New Roman"/>
          <w:sz w:val="24"/>
          <w:szCs w:val="28"/>
          <w:lang w:eastAsia="hr-HR"/>
        </w:rPr>
      </w:pPr>
    </w:p>
    <w:p w:rsidR="00E54A2E" w:rsidRPr="00E54A2E" w:rsidRDefault="00E54A2E" w:rsidP="00E54A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 xml:space="preserve">  II.1. </w:t>
      </w:r>
      <w:r w:rsidR="00C70695">
        <w:rPr>
          <w:rFonts w:ascii="Arial" w:eastAsia="Times New Roman" w:hAnsi="Arial" w:cs="Arial"/>
          <w:sz w:val="24"/>
          <w:szCs w:val="24"/>
          <w:lang w:eastAsia="hr-HR"/>
        </w:rPr>
        <w:t>c</w:t>
      </w:r>
      <w:r w:rsidRPr="00E54A2E">
        <w:rPr>
          <w:rFonts w:ascii="Arial" w:eastAsia="Times New Roman" w:hAnsi="Arial" w:cs="Arial"/>
          <w:sz w:val="24"/>
          <w:szCs w:val="24"/>
          <w:lang w:eastAsia="hr-HR"/>
        </w:rPr>
        <w:t>) STAN I GARAŽA U DUBROVNIKU</w:t>
      </w:r>
    </w:p>
    <w:p w:rsidR="00E54A2E" w:rsidRPr="00E54A2E" w:rsidRDefault="00E54A2E" w:rsidP="00E54A2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E54A2E" w:rsidRPr="00E54A2E" w:rsidRDefault="00E54A2E" w:rsidP="00E54A2E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>upisana u z.k.ul. br. 2842 k.o. Gruž, k.č.br. ZGR.3196, 1044/1,</w:t>
      </w:r>
    </w:p>
    <w:p w:rsidR="00E54A2E" w:rsidRPr="00E54A2E" w:rsidRDefault="00E54A2E" w:rsidP="00E54A2E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 xml:space="preserve">broj poduloška 42, etaža 341/10000 –  stan u prizemlju zgrade oznake „STAN- </w:t>
      </w:r>
    </w:p>
    <w:p w:rsidR="00E54A2E" w:rsidRPr="00E54A2E" w:rsidRDefault="00E54A2E" w:rsidP="00E54A2E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 xml:space="preserve">S12“ koji se sastoji od ulaznog prostora, dnevnog boravka, blagovaonice, </w:t>
      </w:r>
    </w:p>
    <w:p w:rsidR="00E54A2E" w:rsidRPr="00E54A2E" w:rsidRDefault="00E54A2E" w:rsidP="00E54A2E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 xml:space="preserve">kuhinje, kupaonice, jedne sobe, balkona i natkrivene terase površine 64,73m², </w:t>
      </w:r>
    </w:p>
    <w:p w:rsidR="00E54A2E" w:rsidRPr="00E54A2E" w:rsidRDefault="00E54A2E" w:rsidP="00E54A2E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 xml:space="preserve">te pripadajućeg spremišta u podrumu zgrade oznake „SPREMIŠTE–S12“ </w:t>
      </w:r>
    </w:p>
    <w:p w:rsidR="00E54A2E" w:rsidRPr="00E54A2E" w:rsidRDefault="00E54A2E" w:rsidP="00E54A2E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 xml:space="preserve">površine 1,50m², s tim da se pravo vlasništva stana proteže na vrt površine </w:t>
      </w:r>
    </w:p>
    <w:p w:rsidR="00E54A2E" w:rsidRPr="00E54A2E" w:rsidRDefault="00E54A2E" w:rsidP="00E54A2E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>19,67m² i na vrt površine 15,00m² kao sporedne dijelove,</w:t>
      </w:r>
    </w:p>
    <w:p w:rsidR="00E54A2E" w:rsidRPr="00E54A2E" w:rsidRDefault="00E54A2E" w:rsidP="00E54A2E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 xml:space="preserve">broj poduloška 23, etaža 66/10000 – garaža u podrumu zgrade oznake </w:t>
      </w:r>
    </w:p>
    <w:p w:rsidR="00E54A2E" w:rsidRPr="00E54A2E" w:rsidRDefault="00E54A2E" w:rsidP="00E54A2E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>„GARAŽA 35“ površine 12,75m².</w:t>
      </w:r>
    </w:p>
    <w:p w:rsidR="00E54A2E" w:rsidRPr="00E54A2E" w:rsidRDefault="00E54A2E" w:rsidP="00E54A2E">
      <w:pPr>
        <w:spacing w:after="0" w:line="24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E54A2E" w:rsidRPr="00E54A2E" w:rsidRDefault="00E54A2E" w:rsidP="00E54A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>U teretovnici za gore opisanu nekretninu u odnosu na udio pod rednim brojem 23. trenutno su upisana niže opisana stvarna prava kojima je opterećena:</w:t>
      </w:r>
    </w:p>
    <w:p w:rsidR="00E54A2E" w:rsidRPr="00E54A2E" w:rsidRDefault="00E54A2E" w:rsidP="00E54A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E54A2E" w:rsidRPr="00E54A2E" w:rsidRDefault="00E54A2E" w:rsidP="00E54A2E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>Z- 1502/12 od 23. ožujka 2012. godine upisna zabilježba ovrhe utvrđivanjem vrijednosti nekretnina, prodajom nekretnina i namirenjem ovrhovoditelja DOKA HRVATSKA d.o.o. Radnička cesta 173g, Zagreb iz iznosa dobivenog prodajom.</w:t>
      </w:r>
    </w:p>
    <w:p w:rsidR="00E54A2E" w:rsidRPr="00E54A2E" w:rsidRDefault="00E54A2E" w:rsidP="00E54A2E">
      <w:pPr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>Stečajni upravitelj je Trgovačkom sudu u Splitu, Stalna služba u   Dubrovniku, podnio prijedlog za obustavu ovrhe temeljem članka 97. Stečajnog zakona, kojem je 04. kolovoza 2015. godine udovoljeno, pa je ovrha temeljem koje je upisana zabilježba obustavljena i sve provedene ovršne radnje ukinute, međutim, kako je ovrhovoditelj uložio žalbu na rješenje o obustavi ovrhe nije proveden upis brisanja zabilježbe.</w:t>
      </w:r>
    </w:p>
    <w:p w:rsidR="00E54A2E" w:rsidRPr="00E54A2E" w:rsidRDefault="00E54A2E" w:rsidP="00E54A2E">
      <w:pPr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E54A2E" w:rsidRPr="00E54A2E" w:rsidRDefault="00E54A2E" w:rsidP="00E54A2E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>Z-2873/12 od 31. svibnja 2012. godine radi osiguranja tražbine u iznosu od 3.201.615,01 kn uknjiženo založno pravo u korist Republike Hrvatske temeljem rješenja Ministarstva financija, Porezne uprave.</w:t>
      </w:r>
    </w:p>
    <w:p w:rsidR="00E54A2E" w:rsidRPr="00E54A2E" w:rsidRDefault="00E54A2E" w:rsidP="00E54A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E54A2E" w:rsidRPr="00E54A2E" w:rsidRDefault="00E54A2E" w:rsidP="00E54A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>U teretovnici za gore opisanu nekretninu u odnosu na udio pod rednim brojem 42. trenutno je upisano sljedeće stvarno pravo kojim je ona opterećena:</w:t>
      </w:r>
    </w:p>
    <w:p w:rsidR="00E54A2E" w:rsidRPr="00E54A2E" w:rsidRDefault="00E54A2E" w:rsidP="00E54A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E54A2E" w:rsidRPr="00E54A2E" w:rsidRDefault="00E54A2E" w:rsidP="00E54A2E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 xml:space="preserve">Z- 1502/12 od 23. ožujka 2012. godine upisana zabilježba ovrhe utvrđivanjem vrijednosti nekretnina, prodajom nekretnina i namirenjem ovrhovoditelja DOKA </w:t>
      </w:r>
      <w:r w:rsidRPr="00E54A2E">
        <w:rPr>
          <w:rFonts w:ascii="Arial" w:eastAsia="Times New Roman" w:hAnsi="Arial" w:cs="Arial"/>
          <w:sz w:val="24"/>
          <w:szCs w:val="24"/>
          <w:lang w:eastAsia="hr-HR"/>
        </w:rPr>
        <w:lastRenderedPageBreak/>
        <w:t>HRVATSKA d.o.o. Radnička cesta 173g, Zagreb iz iznosa dobivenog prodajom.</w:t>
      </w:r>
    </w:p>
    <w:p w:rsidR="00E54A2E" w:rsidRPr="00E54A2E" w:rsidRDefault="00E54A2E" w:rsidP="00E54A2E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>Stečajni upravitelj je kao i u odnosu na udio 23. Trgovačkom sudu u Splitu, Stalna služba u  Dubrovniku, podnio prijedlog za obustavu ovrhe temeljem članka 97. Stečajnog zakona, kojem je prijedlogu 04. kolovoza 2015. godine udovoljeno i ovrha temeljem koje je upisana zabilježba je obustavljena i ukinute provedene ovršne radnje, međutim, kako je ovrhovoditelj uložio žalbu na rješenje o obustavi, nije proveden upis brisanja zabilježbe.</w:t>
      </w:r>
    </w:p>
    <w:p w:rsidR="00E54A2E" w:rsidRPr="00E54A2E" w:rsidRDefault="00E54A2E" w:rsidP="00E54A2E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E54A2E" w:rsidRPr="00E54A2E" w:rsidRDefault="00E54A2E" w:rsidP="00E54A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>Navedenu nekretninu je stečajni dužnik kao prodavatelj temeljem Ugovor o kupoprodaji nekretnina zaključenog 15. ožujka 2012. godine prodao kupcu NUTZFAHRZEUGE LEASING AG, Republika Austrija, pa je podnijeta tužba za pobijanje pravnih radnji stečajnog dužnika, kupoprodaje sklapanjem spomenutog kupoprodajnog ugovora.</w:t>
      </w:r>
      <w:r w:rsidR="001114CA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6865A0">
        <w:rPr>
          <w:rFonts w:ascii="Arial" w:eastAsia="Times New Roman" w:hAnsi="Arial" w:cs="Arial"/>
          <w:sz w:val="24"/>
          <w:szCs w:val="24"/>
          <w:lang w:eastAsia="hr-HR"/>
        </w:rPr>
        <w:t xml:space="preserve">Spor se vodi u Trgovačkom sudu u Zagrebu, pod.br. 21 P-2642/2016 te je određena </w:t>
      </w:r>
      <w:r w:rsidR="00B77B7A">
        <w:rPr>
          <w:rFonts w:ascii="Arial" w:eastAsia="Times New Roman" w:hAnsi="Arial" w:cs="Arial"/>
          <w:sz w:val="24"/>
          <w:szCs w:val="24"/>
          <w:lang w:eastAsia="hr-HR"/>
        </w:rPr>
        <w:t>glavna rasprava za 21.ožujak 2017.godine.</w:t>
      </w:r>
      <w:r w:rsidR="006865A0">
        <w:rPr>
          <w:rFonts w:ascii="Arial" w:eastAsia="Times New Roman" w:hAnsi="Arial" w:cs="Arial"/>
          <w:sz w:val="24"/>
          <w:szCs w:val="24"/>
          <w:lang w:eastAsia="hr-HR"/>
        </w:rPr>
        <w:t xml:space="preserve">  </w:t>
      </w:r>
    </w:p>
    <w:p w:rsidR="00E54A2E" w:rsidRPr="00E54A2E" w:rsidRDefault="00E54A2E" w:rsidP="00E54A2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E54A2E" w:rsidRPr="00E54A2E" w:rsidRDefault="00E54A2E" w:rsidP="00E54A2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>II.2. POKRETNA IMOVINA</w:t>
      </w:r>
    </w:p>
    <w:p w:rsidR="00E54A2E" w:rsidRPr="00E54A2E" w:rsidRDefault="00E54A2E" w:rsidP="00E54A2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E54A2E" w:rsidRPr="00E54A2E" w:rsidRDefault="00E54A2E" w:rsidP="00E54A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z w:val="24"/>
          <w:szCs w:val="24"/>
          <w:lang w:eastAsia="hr-HR"/>
        </w:rPr>
        <w:t>Preostalu neprodanu pokretnu imovinu čini nasipni materijal u količini 11.302 m³.</w:t>
      </w:r>
    </w:p>
    <w:p w:rsidR="00B77B7A" w:rsidRDefault="00B77B7A" w:rsidP="00E54A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Do sada je prodaja oglašavana šest puta, međutim nasipni materijal nije unovčen, pa je </w:t>
      </w:r>
      <w:r>
        <w:rPr>
          <w:rFonts w:ascii="Arial" w:eastAsia="Times New Roman" w:hAnsi="Arial" w:cs="Times New Roman"/>
          <w:sz w:val="24"/>
          <w:szCs w:val="28"/>
          <w:lang w:eastAsia="hr-HR"/>
        </w:rPr>
        <w:t>stečajni upravitelj dostavio je Sudu p</w:t>
      </w:r>
      <w:r w:rsidRPr="001114CA">
        <w:rPr>
          <w:rFonts w:ascii="Arial" w:eastAsia="Times New Roman" w:hAnsi="Arial" w:cs="Times New Roman"/>
          <w:sz w:val="24"/>
          <w:szCs w:val="28"/>
          <w:lang w:eastAsia="hr-HR"/>
        </w:rPr>
        <w:t>rijedlog za sazivanje Skupštine vjerovnika</w:t>
      </w:r>
      <w:r>
        <w:rPr>
          <w:rFonts w:ascii="Arial" w:eastAsia="Times New Roman" w:hAnsi="Arial" w:cs="Times New Roman"/>
          <w:sz w:val="24"/>
          <w:szCs w:val="28"/>
          <w:lang w:eastAsia="hr-HR"/>
        </w:rPr>
        <w:t>, na kojoj bi se odlučilo o daljnjem načinu unovčenja nekretnine.</w:t>
      </w:r>
    </w:p>
    <w:p w:rsidR="00B77B7A" w:rsidRDefault="00B77B7A" w:rsidP="00E54A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E54A2E" w:rsidRPr="00E54A2E" w:rsidRDefault="00E54A2E" w:rsidP="00E54A2E">
      <w:pPr>
        <w:spacing w:after="0" w:line="240" w:lineRule="auto"/>
        <w:jc w:val="both"/>
        <w:rPr>
          <w:rFonts w:ascii="Arial" w:eastAsia="Times New Roman" w:hAnsi="Arial" w:cs="Arial"/>
          <w:b/>
          <w:spacing w:val="2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pacing w:val="2"/>
          <w:sz w:val="24"/>
          <w:szCs w:val="24"/>
          <w:lang w:eastAsia="hr-HR"/>
        </w:rPr>
        <w:t>II.3. POTRAŽIVANJA OD DUŽNIKOVIH DUŽNIKA</w:t>
      </w:r>
    </w:p>
    <w:p w:rsidR="00E54A2E" w:rsidRPr="00E54A2E" w:rsidRDefault="00E54A2E" w:rsidP="00E54A2E">
      <w:pPr>
        <w:spacing w:after="0" w:line="240" w:lineRule="auto"/>
        <w:rPr>
          <w:rFonts w:ascii="Arial" w:eastAsia="Times New Roman" w:hAnsi="Arial" w:cs="Arial"/>
          <w:spacing w:val="2"/>
          <w:sz w:val="24"/>
          <w:szCs w:val="24"/>
          <w:lang w:eastAsia="hr-HR"/>
        </w:rPr>
      </w:pPr>
      <w:r w:rsidRPr="00E54A2E">
        <w:rPr>
          <w:rFonts w:ascii="Arial" w:eastAsia="Times New Roman" w:hAnsi="Arial" w:cs="Arial"/>
          <w:spacing w:val="2"/>
          <w:sz w:val="24"/>
          <w:szCs w:val="24"/>
          <w:lang w:eastAsia="hr-HR"/>
        </w:rPr>
        <w:t xml:space="preserve">Dužnicima su dostavljene opomene, a nakon čega su za neke kupce podnijeti prijedlozi za ovrhu temeljem vjerodostojne isprave, te se sada vode parnice. </w:t>
      </w:r>
    </w:p>
    <w:p w:rsidR="00E54A2E" w:rsidRPr="00E54A2E" w:rsidRDefault="00E54A2E" w:rsidP="00E54A2E">
      <w:pPr>
        <w:spacing w:after="0" w:line="240" w:lineRule="auto"/>
        <w:rPr>
          <w:rFonts w:ascii="Arial" w:eastAsia="Times New Roman" w:hAnsi="Arial" w:cs="Arial"/>
          <w:spacing w:val="2"/>
          <w:sz w:val="24"/>
          <w:szCs w:val="24"/>
          <w:lang w:eastAsia="hr-HR"/>
        </w:rPr>
      </w:pPr>
    </w:p>
    <w:p w:rsidR="00E54A2E" w:rsidRPr="00E54A2E" w:rsidRDefault="00E54A2E" w:rsidP="00E54A2E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E54A2E">
        <w:rPr>
          <w:rFonts w:ascii="Arial" w:eastAsia="Calibri" w:hAnsi="Arial" w:cs="Arial"/>
          <w:sz w:val="24"/>
          <w:szCs w:val="24"/>
          <w:lang w:val="pl-PL"/>
        </w:rPr>
        <w:t>Financijsko izvješće o prihodima i učinjenim troškovima je u prilogu ovog izvješća.</w:t>
      </w:r>
    </w:p>
    <w:p w:rsidR="00E54A2E" w:rsidRPr="00E54A2E" w:rsidRDefault="00E54A2E" w:rsidP="00E54A2E">
      <w:pPr>
        <w:spacing w:after="80" w:line="240" w:lineRule="auto"/>
        <w:ind w:left="360"/>
        <w:rPr>
          <w:rFonts w:ascii="Arial" w:eastAsia="Calibri" w:hAnsi="Arial" w:cs="Arial"/>
          <w:sz w:val="24"/>
          <w:szCs w:val="24"/>
          <w:lang w:val="pl-PL"/>
        </w:rPr>
      </w:pPr>
    </w:p>
    <w:p w:rsidR="00E54A2E" w:rsidRPr="00E54A2E" w:rsidRDefault="00E54A2E" w:rsidP="00E54A2E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E54A2E">
        <w:rPr>
          <w:rFonts w:ascii="Arial" w:eastAsia="Calibri" w:hAnsi="Arial" w:cs="Arial"/>
          <w:sz w:val="24"/>
          <w:szCs w:val="24"/>
          <w:lang w:val="pl-PL"/>
        </w:rPr>
        <w:t>III. RADNJE KOJE ĆE SE PODUZETI U NAREDNOM RAZDOBLJU</w:t>
      </w:r>
    </w:p>
    <w:p w:rsidR="00E54A2E" w:rsidRPr="00E54A2E" w:rsidRDefault="00E54A2E" w:rsidP="00E54A2E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E54A2E">
        <w:rPr>
          <w:rFonts w:ascii="Arial" w:eastAsia="Calibri" w:hAnsi="Arial" w:cs="Arial"/>
          <w:sz w:val="24"/>
          <w:szCs w:val="24"/>
          <w:lang w:val="pl-PL"/>
        </w:rPr>
        <w:t xml:space="preserve">Naznačiti radnje koje će se poduzeti u naredom razdoblju od </w:t>
      </w:r>
      <w:r w:rsidR="00B77B7A">
        <w:rPr>
          <w:rFonts w:ascii="Arial" w:eastAsia="Calibri" w:hAnsi="Arial" w:cs="Arial"/>
          <w:sz w:val="24"/>
          <w:szCs w:val="24"/>
          <w:u w:val="single"/>
          <w:lang w:val="pl-PL"/>
        </w:rPr>
        <w:t>29. siječnja</w:t>
      </w:r>
      <w:r w:rsidRPr="00E54A2E">
        <w:rPr>
          <w:rFonts w:ascii="Arial" w:eastAsia="Calibri" w:hAnsi="Arial" w:cs="Arial"/>
          <w:sz w:val="24"/>
          <w:szCs w:val="24"/>
          <w:lang w:val="pl-PL"/>
        </w:rPr>
        <w:t xml:space="preserve"> DO </w:t>
      </w:r>
      <w:r w:rsidR="00B77B7A">
        <w:rPr>
          <w:rFonts w:ascii="Arial" w:eastAsia="Calibri" w:hAnsi="Arial" w:cs="Arial"/>
          <w:sz w:val="24"/>
          <w:szCs w:val="24"/>
          <w:u w:val="single"/>
          <w:lang w:val="pl-PL"/>
        </w:rPr>
        <w:t>29. travnja</w:t>
      </w:r>
      <w:r w:rsidRPr="00E54A2E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2017.godine</w:t>
      </w:r>
      <w:r w:rsidRPr="00E54A2E">
        <w:rPr>
          <w:rFonts w:ascii="Arial" w:eastAsia="Calibri" w:hAnsi="Arial" w:cs="Arial"/>
          <w:sz w:val="24"/>
          <w:szCs w:val="24"/>
          <w:lang w:val="pl-PL"/>
        </w:rPr>
        <w:t>.</w:t>
      </w:r>
    </w:p>
    <w:p w:rsidR="00E54A2E" w:rsidRPr="00E54A2E" w:rsidRDefault="00B77B7A" w:rsidP="00E54A2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pl-PL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Nakon odluke Skupštine vjerovnika </w:t>
      </w:r>
      <w:r w:rsidR="00E54A2E" w:rsidRPr="00E54A2E">
        <w:rPr>
          <w:rFonts w:ascii="Arial" w:eastAsia="Times New Roman" w:hAnsi="Arial" w:cs="Arial"/>
          <w:sz w:val="24"/>
          <w:szCs w:val="24"/>
          <w:lang w:eastAsia="hr-HR"/>
        </w:rPr>
        <w:t>za nekretninu Gradilište u Jankomiru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i za pokretnine – nasipni materijal</w:t>
      </w:r>
      <w:r w:rsidR="00E54A2E" w:rsidRPr="00E54A2E">
        <w:rPr>
          <w:rFonts w:ascii="Arial" w:eastAsia="Times New Roman" w:hAnsi="Arial" w:cs="Arial"/>
          <w:sz w:val="24"/>
          <w:szCs w:val="24"/>
          <w:lang w:eastAsia="hr-HR"/>
        </w:rPr>
        <w:t xml:space="preserve">, dalje oglašavati i unovčiti </w:t>
      </w:r>
      <w:r>
        <w:rPr>
          <w:rFonts w:ascii="Arial" w:eastAsia="Times New Roman" w:hAnsi="Arial" w:cs="Arial"/>
          <w:sz w:val="24"/>
          <w:szCs w:val="24"/>
          <w:lang w:eastAsia="hr-HR"/>
        </w:rPr>
        <w:t>imovinu</w:t>
      </w:r>
    </w:p>
    <w:p w:rsidR="00E54A2E" w:rsidRPr="00E54A2E" w:rsidRDefault="00C70695" w:rsidP="00E54A2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pl-PL"/>
        </w:rPr>
      </w:pPr>
      <w:r>
        <w:rPr>
          <w:rFonts w:ascii="Arial" w:eastAsia="Calibri" w:hAnsi="Arial" w:cs="Arial"/>
          <w:sz w:val="24"/>
          <w:szCs w:val="24"/>
          <w:lang w:val="pl-PL"/>
        </w:rPr>
        <w:t xml:space="preserve">Po zaprimanju odluke Suda o odustajanju od žalbe, provesti upis brisanja zabilježbe ovrhe za nekretninu - </w:t>
      </w:r>
      <w:r w:rsidRPr="00E54A2E">
        <w:rPr>
          <w:rFonts w:ascii="Arial" w:eastAsia="Times New Roman" w:hAnsi="Arial" w:cs="Arial"/>
          <w:sz w:val="24"/>
          <w:szCs w:val="24"/>
          <w:lang w:eastAsia="hr-HR"/>
        </w:rPr>
        <w:t>DVOSOBNI STAN U ZAGREBU, PRIMORSKA 8, U PRIZEMLJU DESNO</w:t>
      </w:r>
      <w:r>
        <w:rPr>
          <w:rFonts w:ascii="Arial" w:eastAsia="Times New Roman" w:hAnsi="Arial" w:cs="Arial"/>
          <w:sz w:val="24"/>
          <w:szCs w:val="24"/>
          <w:lang w:eastAsia="hr-HR"/>
        </w:rPr>
        <w:t>, te procijeniti vrijednost nekretnine i pripremiti za oglašavanje i unovčenje.</w:t>
      </w:r>
      <w:r w:rsidR="00E54A2E" w:rsidRPr="00E54A2E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E54A2E" w:rsidRPr="00E54A2E" w:rsidRDefault="00E54A2E" w:rsidP="00E54A2E">
      <w:pPr>
        <w:spacing w:after="80" w:line="240" w:lineRule="auto"/>
        <w:ind w:left="360"/>
        <w:rPr>
          <w:rFonts w:ascii="Arial" w:eastAsia="Calibri" w:hAnsi="Arial" w:cs="Arial"/>
          <w:sz w:val="24"/>
          <w:szCs w:val="24"/>
          <w:lang w:val="pl-PL"/>
        </w:rPr>
      </w:pPr>
    </w:p>
    <w:p w:rsidR="00E54A2E" w:rsidRPr="00E54A2E" w:rsidRDefault="00E54A2E" w:rsidP="00E54A2E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E54A2E">
        <w:rPr>
          <w:rFonts w:ascii="Arial" w:eastAsia="Calibri" w:hAnsi="Arial" w:cs="Arial"/>
          <w:sz w:val="24"/>
          <w:szCs w:val="24"/>
          <w:lang w:val="pl-PL"/>
        </w:rPr>
        <w:t xml:space="preserve">Mjesto i datum </w:t>
      </w:r>
      <w:r w:rsidRPr="00E54A2E">
        <w:rPr>
          <w:rFonts w:ascii="Arial" w:eastAsia="Calibri" w:hAnsi="Arial" w:cs="Arial"/>
          <w:sz w:val="24"/>
          <w:szCs w:val="24"/>
          <w:lang w:val="pl-PL"/>
        </w:rPr>
        <w:tab/>
      </w:r>
      <w:r w:rsidRPr="00E54A2E">
        <w:rPr>
          <w:rFonts w:ascii="Arial" w:eastAsia="Calibri" w:hAnsi="Arial" w:cs="Arial"/>
          <w:sz w:val="24"/>
          <w:szCs w:val="24"/>
          <w:lang w:val="pl-PL"/>
        </w:rPr>
        <w:tab/>
      </w:r>
      <w:r w:rsidRPr="00E54A2E">
        <w:rPr>
          <w:rFonts w:ascii="Arial" w:eastAsia="Calibri" w:hAnsi="Arial" w:cs="Arial"/>
          <w:sz w:val="24"/>
          <w:szCs w:val="24"/>
          <w:lang w:val="pl-PL"/>
        </w:rPr>
        <w:tab/>
      </w:r>
      <w:r w:rsidRPr="00E54A2E">
        <w:rPr>
          <w:rFonts w:ascii="Arial" w:eastAsia="Calibri" w:hAnsi="Arial" w:cs="Arial"/>
          <w:sz w:val="24"/>
          <w:szCs w:val="24"/>
          <w:lang w:val="pl-PL"/>
        </w:rPr>
        <w:tab/>
      </w:r>
      <w:r w:rsidRPr="00E54A2E">
        <w:rPr>
          <w:rFonts w:ascii="Arial" w:eastAsia="Calibri" w:hAnsi="Arial" w:cs="Arial"/>
          <w:sz w:val="24"/>
          <w:szCs w:val="24"/>
          <w:lang w:val="pl-PL"/>
        </w:rPr>
        <w:tab/>
      </w:r>
      <w:r w:rsidRPr="00E54A2E">
        <w:rPr>
          <w:rFonts w:ascii="Arial" w:eastAsia="Calibri" w:hAnsi="Arial" w:cs="Arial"/>
          <w:sz w:val="24"/>
          <w:szCs w:val="24"/>
          <w:lang w:val="pl-PL"/>
        </w:rPr>
        <w:tab/>
        <w:t>Stečajni upravitelj</w:t>
      </w:r>
    </w:p>
    <w:p w:rsidR="00E54A2E" w:rsidRPr="00E54A2E" w:rsidRDefault="00E54A2E" w:rsidP="00E54A2E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E54A2E">
        <w:rPr>
          <w:rFonts w:ascii="Arial" w:eastAsia="Calibri" w:hAnsi="Arial" w:cs="Arial"/>
          <w:sz w:val="24"/>
          <w:szCs w:val="24"/>
          <w:lang w:val="pl-PL"/>
        </w:rPr>
        <w:t>___</w:t>
      </w:r>
      <w:r w:rsidRPr="00E54A2E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Zagreb, 29. </w:t>
      </w:r>
      <w:r w:rsidR="00C70695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siječanj </w:t>
      </w:r>
      <w:r w:rsidRPr="00E54A2E">
        <w:rPr>
          <w:rFonts w:ascii="Arial" w:eastAsia="Calibri" w:hAnsi="Arial" w:cs="Arial"/>
          <w:sz w:val="24"/>
          <w:szCs w:val="24"/>
          <w:u w:val="single"/>
          <w:lang w:val="pl-PL"/>
        </w:rPr>
        <w:t>201</w:t>
      </w:r>
      <w:r w:rsidR="00C70695">
        <w:rPr>
          <w:rFonts w:ascii="Arial" w:eastAsia="Calibri" w:hAnsi="Arial" w:cs="Arial"/>
          <w:sz w:val="24"/>
          <w:szCs w:val="24"/>
          <w:u w:val="single"/>
          <w:lang w:val="pl-PL"/>
        </w:rPr>
        <w:t>7</w:t>
      </w:r>
      <w:r w:rsidRPr="00E54A2E">
        <w:rPr>
          <w:rFonts w:ascii="Arial" w:eastAsia="Calibri" w:hAnsi="Arial" w:cs="Arial"/>
          <w:sz w:val="24"/>
          <w:szCs w:val="24"/>
          <w:u w:val="single"/>
          <w:lang w:val="pl-PL"/>
        </w:rPr>
        <w:t>.god.</w:t>
      </w:r>
      <w:r w:rsidRPr="00E54A2E">
        <w:rPr>
          <w:rFonts w:ascii="Arial" w:eastAsia="Calibri" w:hAnsi="Arial" w:cs="Arial"/>
          <w:sz w:val="24"/>
          <w:szCs w:val="24"/>
          <w:lang w:val="pl-PL"/>
        </w:rPr>
        <w:t xml:space="preserve">_                            </w:t>
      </w:r>
      <w:r w:rsidRPr="00E54A2E">
        <w:rPr>
          <w:rFonts w:ascii="Arial" w:eastAsia="Calibri" w:hAnsi="Arial" w:cs="Arial"/>
          <w:sz w:val="24"/>
          <w:szCs w:val="24"/>
          <w:lang w:val="pl-PL"/>
        </w:rPr>
        <w:tab/>
        <w:t>_</w:t>
      </w:r>
      <w:r w:rsidRPr="00E54A2E">
        <w:rPr>
          <w:rFonts w:ascii="Arial" w:eastAsia="Calibri" w:hAnsi="Arial" w:cs="Arial"/>
          <w:sz w:val="24"/>
          <w:szCs w:val="24"/>
          <w:u w:val="single"/>
          <w:lang w:val="pl-PL"/>
        </w:rPr>
        <w:t>Josip Lončarić</w:t>
      </w:r>
      <w:r w:rsidRPr="00E54A2E">
        <w:rPr>
          <w:rFonts w:ascii="Arial" w:eastAsia="Calibri" w:hAnsi="Arial" w:cs="Arial"/>
          <w:sz w:val="24"/>
          <w:szCs w:val="24"/>
          <w:lang w:val="pl-PL"/>
        </w:rPr>
        <w:t>__</w:t>
      </w:r>
    </w:p>
    <w:p w:rsidR="00E54A2E" w:rsidRPr="00E54A2E" w:rsidRDefault="00E54A2E" w:rsidP="00E54A2E">
      <w:pPr>
        <w:spacing w:after="80" w:line="240" w:lineRule="auto"/>
        <w:ind w:left="360"/>
        <w:rPr>
          <w:rFonts w:ascii="Arial" w:eastAsia="Calibri" w:hAnsi="Arial" w:cs="Arial"/>
          <w:sz w:val="24"/>
          <w:szCs w:val="24"/>
          <w:lang w:val="pl-PL"/>
        </w:rPr>
      </w:pPr>
    </w:p>
    <w:p w:rsidR="00E54A2E" w:rsidRPr="00E54A2E" w:rsidRDefault="00E54A2E" w:rsidP="00E54A2E">
      <w:pPr>
        <w:spacing w:after="80" w:line="240" w:lineRule="auto"/>
        <w:rPr>
          <w:rFonts w:ascii="Calibri" w:eastAsia="Calibri" w:hAnsi="Calibri" w:cs="Times New Roman"/>
        </w:rPr>
      </w:pPr>
    </w:p>
    <w:p w:rsidR="00E54A2E" w:rsidRPr="00E54A2E" w:rsidRDefault="00E54A2E" w:rsidP="00E54A2E"/>
    <w:p w:rsidR="00E54A2E" w:rsidRPr="00E54A2E" w:rsidRDefault="00E54A2E" w:rsidP="00E54A2E"/>
    <w:p w:rsidR="00463A0D" w:rsidRDefault="00463A0D"/>
    <w:sectPr w:rsidR="00463A0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27DA0">
      <w:pPr>
        <w:spacing w:after="0" w:line="240" w:lineRule="auto"/>
      </w:pPr>
      <w:r>
        <w:separator/>
      </w:r>
    </w:p>
  </w:endnote>
  <w:endnote w:type="continuationSeparator" w:id="0">
    <w:p w:rsidR="00000000" w:rsidRDefault="00F27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4068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0FFF" w:rsidRDefault="0060405D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7D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80FFF" w:rsidRDefault="00F27DA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27DA0">
      <w:pPr>
        <w:spacing w:after="0" w:line="240" w:lineRule="auto"/>
      </w:pPr>
      <w:r>
        <w:separator/>
      </w:r>
    </w:p>
  </w:footnote>
  <w:footnote w:type="continuationSeparator" w:id="0">
    <w:p w:rsidR="00000000" w:rsidRDefault="00F27D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23610"/>
    <w:multiLevelType w:val="hybridMultilevel"/>
    <w:tmpl w:val="43D21BFA"/>
    <w:lvl w:ilvl="0" w:tplc="DDDCD458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9308C"/>
    <w:multiLevelType w:val="hybridMultilevel"/>
    <w:tmpl w:val="D9DA32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0A28EB"/>
    <w:multiLevelType w:val="hybridMultilevel"/>
    <w:tmpl w:val="C6F65B70"/>
    <w:lvl w:ilvl="0" w:tplc="44CA562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565E22"/>
    <w:multiLevelType w:val="hybridMultilevel"/>
    <w:tmpl w:val="F6D297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B86ACF"/>
    <w:multiLevelType w:val="hybridMultilevel"/>
    <w:tmpl w:val="85D848CE"/>
    <w:lvl w:ilvl="0" w:tplc="5B7AD85A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061BE6"/>
    <w:multiLevelType w:val="hybridMultilevel"/>
    <w:tmpl w:val="DE561B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A2E"/>
    <w:rsid w:val="000013CF"/>
    <w:rsid w:val="001114CA"/>
    <w:rsid w:val="0026404D"/>
    <w:rsid w:val="00463A0D"/>
    <w:rsid w:val="0060405D"/>
    <w:rsid w:val="006865A0"/>
    <w:rsid w:val="00B77B7A"/>
    <w:rsid w:val="00C70695"/>
    <w:rsid w:val="00D50FB6"/>
    <w:rsid w:val="00E54A2E"/>
    <w:rsid w:val="00F2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E54A2E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odnojeChar">
    <w:name w:val="Podnožje Char"/>
    <w:basedOn w:val="Zadanifontodlomka"/>
    <w:link w:val="Podnoje"/>
    <w:uiPriority w:val="99"/>
    <w:rsid w:val="00E54A2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E54A2E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odnojeChar">
    <w:name w:val="Podnožje Char"/>
    <w:basedOn w:val="Zadanifontodlomka"/>
    <w:link w:val="Podnoje"/>
    <w:uiPriority w:val="99"/>
    <w:rsid w:val="00E54A2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1104</Words>
  <Characters>6295</Characters>
  <Application>Microsoft Office Word</Application>
  <DocSecurity>4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Valentina Kranjčić</cp:lastModifiedBy>
  <cp:revision>2</cp:revision>
  <cp:lastPrinted>2017-02-06T14:03:00Z</cp:lastPrinted>
  <dcterms:created xsi:type="dcterms:W3CDTF">2017-02-13T07:45:00Z</dcterms:created>
  <dcterms:modified xsi:type="dcterms:W3CDTF">2017-02-13T07:45:00Z</dcterms:modified>
</cp:coreProperties>
</file>